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6E" w:rsidRPr="006A35E6" w:rsidRDefault="0090496E" w:rsidP="0090496E">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before="120" w:after="120"/>
        <w:rPr>
          <w:rFonts w:asciiTheme="majorHAnsi" w:hAnsiTheme="majorHAnsi" w:cstheme="minorHAnsi"/>
          <w:sz w:val="28"/>
          <w:szCs w:val="24"/>
        </w:rPr>
      </w:pPr>
      <w:r w:rsidRPr="006A35E6">
        <w:rPr>
          <w:rFonts w:asciiTheme="majorHAnsi" w:hAnsiTheme="majorHAnsi" w:cstheme="minorHAnsi"/>
          <w:b/>
          <w:sz w:val="28"/>
          <w:szCs w:val="24"/>
        </w:rPr>
        <w:t>Rigor</w:t>
      </w:r>
      <w:r w:rsidRPr="006A35E6">
        <w:rPr>
          <w:rFonts w:asciiTheme="majorHAnsi" w:hAnsiTheme="majorHAnsi" w:cstheme="minorHAnsi"/>
          <w:sz w:val="28"/>
          <w:szCs w:val="24"/>
        </w:rPr>
        <w:t xml:space="preserve"> = </w:t>
      </w:r>
      <w:r w:rsidR="00685450">
        <w:rPr>
          <w:rFonts w:asciiTheme="majorHAnsi" w:hAnsiTheme="majorHAnsi" w:cstheme="minorHAnsi"/>
          <w:i/>
          <w:sz w:val="28"/>
          <w:szCs w:val="24"/>
        </w:rPr>
        <w:t>C</w:t>
      </w:r>
      <w:r w:rsidRPr="006A35E6">
        <w:rPr>
          <w:rFonts w:asciiTheme="majorHAnsi" w:hAnsiTheme="majorHAnsi" w:cstheme="minorHAnsi"/>
          <w:i/>
          <w:sz w:val="28"/>
          <w:szCs w:val="24"/>
        </w:rPr>
        <w:t>onceptual understanding</w:t>
      </w:r>
      <w:r w:rsidRPr="006A35E6">
        <w:rPr>
          <w:rFonts w:asciiTheme="majorHAnsi" w:hAnsiTheme="majorHAnsi" w:cstheme="minorHAnsi"/>
          <w:sz w:val="28"/>
          <w:szCs w:val="24"/>
        </w:rPr>
        <w:t xml:space="preserve"> + </w:t>
      </w:r>
      <w:r w:rsidRPr="006A35E6">
        <w:rPr>
          <w:rFonts w:asciiTheme="majorHAnsi" w:hAnsiTheme="majorHAnsi" w:cstheme="minorHAnsi"/>
          <w:i/>
          <w:sz w:val="28"/>
          <w:szCs w:val="24"/>
        </w:rPr>
        <w:t>procedural skill and fluency</w:t>
      </w:r>
      <w:r w:rsidRPr="006A35E6">
        <w:rPr>
          <w:rFonts w:asciiTheme="majorHAnsi" w:hAnsiTheme="majorHAnsi" w:cstheme="minorHAnsi"/>
          <w:sz w:val="28"/>
          <w:szCs w:val="24"/>
        </w:rPr>
        <w:t xml:space="preserve"> + </w:t>
      </w:r>
      <w:r w:rsidRPr="006A35E6">
        <w:rPr>
          <w:rFonts w:asciiTheme="majorHAnsi" w:hAnsiTheme="majorHAnsi" w:cstheme="minorHAnsi"/>
          <w:i/>
          <w:sz w:val="28"/>
          <w:szCs w:val="24"/>
        </w:rPr>
        <w:t>application</w:t>
      </w:r>
    </w:p>
    <w:p w:rsidR="004933CF" w:rsidRDefault="004933CF" w:rsidP="00A94A22">
      <w:pPr>
        <w:autoSpaceDE w:val="0"/>
        <w:autoSpaceDN w:val="0"/>
        <w:adjustRightInd w:val="0"/>
        <w:spacing w:after="0" w:line="240" w:lineRule="auto"/>
        <w:rPr>
          <w:rFonts w:asciiTheme="majorHAnsi" w:hAnsiTheme="majorHAnsi" w:cstheme="minorHAnsi"/>
          <w:sz w:val="24"/>
          <w:szCs w:val="24"/>
        </w:rPr>
      </w:pPr>
    </w:p>
    <w:p w:rsidR="004933CF" w:rsidRDefault="009A4154" w:rsidP="009673FC">
      <w:pPr>
        <w:autoSpaceDE w:val="0"/>
        <w:autoSpaceDN w:val="0"/>
        <w:adjustRightInd w:val="0"/>
        <w:spacing w:before="120" w:after="120"/>
        <w:rPr>
          <w:rFonts w:asciiTheme="majorHAnsi" w:hAnsiTheme="majorHAnsi" w:cstheme="minorHAnsi"/>
          <w:sz w:val="24"/>
          <w:szCs w:val="24"/>
        </w:rPr>
      </w:pPr>
      <w:r>
        <w:rPr>
          <w:rFonts w:asciiTheme="majorHAnsi" w:hAnsiTheme="majorHAnsi" w:cstheme="minorHAnsi"/>
          <w:sz w:val="24"/>
          <w:szCs w:val="24"/>
        </w:rPr>
        <w:t xml:space="preserve">Shift #3: </w:t>
      </w:r>
      <w:r w:rsidR="0090496E">
        <w:rPr>
          <w:rFonts w:asciiTheme="majorHAnsi" w:hAnsiTheme="majorHAnsi" w:cstheme="minorHAnsi"/>
          <w:sz w:val="24"/>
          <w:szCs w:val="24"/>
        </w:rPr>
        <w:t xml:space="preserve">Rigor requires a balance of </w:t>
      </w:r>
      <w:r>
        <w:rPr>
          <w:rFonts w:asciiTheme="majorHAnsi" w:hAnsiTheme="majorHAnsi" w:cstheme="minorHAnsi"/>
          <w:sz w:val="24"/>
          <w:szCs w:val="24"/>
        </w:rPr>
        <w:t>the three discrete components of math instruction:</w:t>
      </w:r>
      <w:r w:rsidR="0090496E">
        <w:rPr>
          <w:rFonts w:asciiTheme="majorHAnsi" w:hAnsiTheme="majorHAnsi" w:cstheme="minorHAnsi"/>
          <w:sz w:val="24"/>
          <w:szCs w:val="24"/>
        </w:rPr>
        <w:t xml:space="preserve"> </w:t>
      </w:r>
      <w:r w:rsidR="002B689C">
        <w:rPr>
          <w:rFonts w:asciiTheme="majorHAnsi" w:hAnsiTheme="majorHAnsi" w:cstheme="minorHAnsi"/>
          <w:sz w:val="24"/>
          <w:szCs w:val="24"/>
        </w:rPr>
        <w:t xml:space="preserve">conceptual understanding, procedural skills and fluency, and application. </w:t>
      </w:r>
      <w:r w:rsidR="0003739F">
        <w:rPr>
          <w:rFonts w:asciiTheme="majorHAnsi" w:hAnsiTheme="majorHAnsi" w:cstheme="minorHAnsi"/>
          <w:sz w:val="24"/>
          <w:szCs w:val="24"/>
        </w:rPr>
        <w:t>This is not</w:t>
      </w:r>
      <w:r w:rsidR="002B689C">
        <w:rPr>
          <w:rFonts w:asciiTheme="majorHAnsi" w:hAnsiTheme="majorHAnsi" w:cstheme="minorHAnsi"/>
          <w:sz w:val="24"/>
          <w:szCs w:val="24"/>
        </w:rPr>
        <w:t xml:space="preserve"> simply</w:t>
      </w:r>
      <w:r w:rsidR="0003739F">
        <w:rPr>
          <w:rFonts w:asciiTheme="majorHAnsi" w:hAnsiTheme="majorHAnsi" w:cstheme="minorHAnsi"/>
          <w:sz w:val="24"/>
          <w:szCs w:val="24"/>
        </w:rPr>
        <w:t xml:space="preserve"> a pedagogical </w:t>
      </w:r>
      <w:r w:rsidR="002B689C">
        <w:rPr>
          <w:rFonts w:asciiTheme="majorHAnsi" w:hAnsiTheme="majorHAnsi" w:cstheme="minorHAnsi"/>
          <w:sz w:val="24"/>
          <w:szCs w:val="24"/>
        </w:rPr>
        <w:t>option, but is required</w:t>
      </w:r>
      <w:bookmarkStart w:id="0" w:name="_GoBack"/>
      <w:bookmarkEnd w:id="0"/>
      <w:r w:rsidR="002B689C">
        <w:rPr>
          <w:rFonts w:asciiTheme="majorHAnsi" w:hAnsiTheme="majorHAnsi" w:cstheme="minorHAnsi"/>
          <w:sz w:val="24"/>
          <w:szCs w:val="24"/>
        </w:rPr>
        <w:t xml:space="preserve"> by the S</w:t>
      </w:r>
      <w:r w:rsidR="0003739F">
        <w:rPr>
          <w:rFonts w:asciiTheme="majorHAnsi" w:hAnsiTheme="majorHAnsi" w:cstheme="minorHAnsi"/>
          <w:sz w:val="24"/>
          <w:szCs w:val="24"/>
        </w:rPr>
        <w:t xml:space="preserve">tandards. </w:t>
      </w:r>
      <w:r w:rsidR="002B689C">
        <w:rPr>
          <w:rFonts w:asciiTheme="majorHAnsi" w:hAnsiTheme="majorHAnsi" w:cstheme="minorHAnsi"/>
          <w:sz w:val="24"/>
          <w:szCs w:val="24"/>
        </w:rPr>
        <w:t>The majority of the Standards specifically call for conceptual understanding, fluency, or application, but not every s</w:t>
      </w:r>
      <w:r w:rsidR="0071493C">
        <w:rPr>
          <w:rFonts w:asciiTheme="majorHAnsi" w:hAnsiTheme="majorHAnsi" w:cstheme="minorHAnsi"/>
          <w:sz w:val="24"/>
          <w:szCs w:val="24"/>
        </w:rPr>
        <w:t xml:space="preserve">tandard will necessarily fit neatly into </w:t>
      </w:r>
      <w:r w:rsidR="004E3F7E">
        <w:rPr>
          <w:rFonts w:asciiTheme="majorHAnsi" w:hAnsiTheme="majorHAnsi" w:cstheme="minorHAnsi"/>
          <w:sz w:val="24"/>
          <w:szCs w:val="24"/>
        </w:rPr>
        <w:t xml:space="preserve">just </w:t>
      </w:r>
      <w:r w:rsidR="0071493C">
        <w:rPr>
          <w:rFonts w:asciiTheme="majorHAnsi" w:hAnsiTheme="majorHAnsi" w:cstheme="minorHAnsi"/>
          <w:sz w:val="24"/>
          <w:szCs w:val="24"/>
        </w:rPr>
        <w:t>on</w:t>
      </w:r>
      <w:r w:rsidR="002B689C">
        <w:rPr>
          <w:rFonts w:asciiTheme="majorHAnsi" w:hAnsiTheme="majorHAnsi" w:cstheme="minorHAnsi"/>
          <w:sz w:val="24"/>
          <w:szCs w:val="24"/>
        </w:rPr>
        <w:t>e of these three discrete compon</w:t>
      </w:r>
      <w:r w:rsidR="0071493C">
        <w:rPr>
          <w:rFonts w:asciiTheme="majorHAnsi" w:hAnsiTheme="majorHAnsi" w:cstheme="minorHAnsi"/>
          <w:sz w:val="24"/>
          <w:szCs w:val="24"/>
        </w:rPr>
        <w:t xml:space="preserve">ents. </w:t>
      </w:r>
      <w:r w:rsidR="002B689C">
        <w:rPr>
          <w:rFonts w:asciiTheme="majorHAnsi" w:hAnsiTheme="majorHAnsi" w:cstheme="minorHAnsi"/>
          <w:sz w:val="24"/>
          <w:szCs w:val="24"/>
        </w:rPr>
        <w:t>For example, certain standards can be said to require procedural skill and conceptual understanding.</w:t>
      </w:r>
    </w:p>
    <w:p w:rsidR="002B689C" w:rsidRDefault="002B689C" w:rsidP="00A94A22">
      <w:pPr>
        <w:autoSpaceDE w:val="0"/>
        <w:autoSpaceDN w:val="0"/>
        <w:adjustRightInd w:val="0"/>
        <w:spacing w:after="0" w:line="240" w:lineRule="auto"/>
        <w:rPr>
          <w:rFonts w:asciiTheme="majorHAnsi" w:hAnsiTheme="majorHAnsi" w:cstheme="minorHAnsi"/>
          <w:sz w:val="24"/>
          <w:szCs w:val="24"/>
        </w:rPr>
      </w:pPr>
    </w:p>
    <w:tbl>
      <w:tblPr>
        <w:tblW w:w="9540" w:type="dxa"/>
        <w:tblInd w:w="-80" w:type="dxa"/>
        <w:tblCellMar>
          <w:left w:w="0" w:type="dxa"/>
          <w:right w:w="0" w:type="dxa"/>
        </w:tblCellMar>
        <w:tblLook w:val="0420" w:firstRow="1" w:lastRow="0" w:firstColumn="0" w:lastColumn="0" w:noHBand="0" w:noVBand="1"/>
      </w:tblPr>
      <w:tblGrid>
        <w:gridCol w:w="720"/>
        <w:gridCol w:w="990"/>
        <w:gridCol w:w="7830"/>
      </w:tblGrid>
      <w:tr w:rsidR="006A3C10" w:rsidRPr="004933CF" w:rsidTr="005E6546">
        <w:trPr>
          <w:trHeight w:val="325"/>
        </w:trPr>
        <w:tc>
          <w:tcPr>
            <w:tcW w:w="72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6A3C10" w:rsidRPr="006A3C10" w:rsidRDefault="006A3C10" w:rsidP="006A3C10">
            <w:pPr>
              <w:jc w:val="center"/>
              <w:rPr>
                <w:b/>
                <w:bCs/>
                <w:sz w:val="24"/>
              </w:rPr>
            </w:pPr>
            <w:r w:rsidRPr="006A3C10">
              <w:rPr>
                <w:b/>
                <w:bCs/>
                <w:sz w:val="24"/>
              </w:rPr>
              <w:t>Grade</w:t>
            </w:r>
          </w:p>
        </w:tc>
        <w:tc>
          <w:tcPr>
            <w:tcW w:w="99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6A3C10" w:rsidRPr="006A3C10" w:rsidRDefault="006A3C10" w:rsidP="006A3C10">
            <w:pPr>
              <w:jc w:val="center"/>
              <w:rPr>
                <w:b/>
                <w:bCs/>
                <w:sz w:val="24"/>
              </w:rPr>
            </w:pPr>
            <w:r>
              <w:rPr>
                <w:b/>
                <w:bCs/>
                <w:sz w:val="24"/>
              </w:rPr>
              <w:t>Standard</w:t>
            </w:r>
          </w:p>
        </w:tc>
        <w:tc>
          <w:tcPr>
            <w:tcW w:w="783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A3C10" w:rsidRPr="006A3C10" w:rsidRDefault="004E3F7E" w:rsidP="004E3F7E">
            <w:pPr>
              <w:jc w:val="center"/>
              <w:rPr>
                <w:b/>
                <w:bCs/>
                <w:sz w:val="24"/>
              </w:rPr>
            </w:pPr>
            <w:r>
              <w:rPr>
                <w:b/>
                <w:bCs/>
                <w:sz w:val="24"/>
              </w:rPr>
              <w:t>Procedural Skill and</w:t>
            </w:r>
            <w:r w:rsidR="006A3C10" w:rsidRPr="006A3C10">
              <w:rPr>
                <w:b/>
                <w:bCs/>
                <w:sz w:val="24"/>
              </w:rPr>
              <w:t xml:space="preserve"> Conceptual Understanding </w:t>
            </w:r>
            <w:r>
              <w:rPr>
                <w:b/>
                <w:bCs/>
                <w:sz w:val="24"/>
              </w:rPr>
              <w:t>Standards</w:t>
            </w:r>
            <w:r w:rsidR="006A3C10" w:rsidRPr="006A3C10">
              <w:rPr>
                <w:b/>
                <w:bCs/>
                <w:sz w:val="24"/>
              </w:rPr>
              <w:t xml:space="preserve"> Examples</w:t>
            </w:r>
          </w:p>
        </w:tc>
      </w:tr>
      <w:tr w:rsidR="006A3C10" w:rsidRPr="00595ED2" w:rsidTr="005E6546">
        <w:trPr>
          <w:trHeight w:val="478"/>
        </w:trPr>
        <w:tc>
          <w:tcPr>
            <w:tcW w:w="720" w:type="dxa"/>
            <w:tcBorders>
              <w:top w:val="single" w:sz="8" w:space="0" w:color="000000"/>
              <w:left w:val="single" w:sz="8" w:space="0" w:color="000000"/>
              <w:bottom w:val="single" w:sz="8" w:space="0" w:color="000000"/>
              <w:right w:val="single" w:sz="8" w:space="0" w:color="000000"/>
            </w:tcBorders>
            <w:shd w:val="clear" w:color="auto" w:fill="FFFFFF"/>
          </w:tcPr>
          <w:p w:rsidR="006A3C10" w:rsidRPr="006A3C10" w:rsidRDefault="006A3C10" w:rsidP="006A3C10">
            <w:pPr>
              <w:spacing w:before="240" w:after="0" w:line="600" w:lineRule="auto"/>
              <w:jc w:val="center"/>
              <w:rPr>
                <w:rFonts w:cstheme="minorHAnsi"/>
                <w:color w:val="000000" w:themeColor="text1"/>
                <w:sz w:val="24"/>
              </w:rPr>
            </w:pPr>
            <w:r w:rsidRPr="006A3C10">
              <w:rPr>
                <w:rFonts w:cstheme="minorHAnsi"/>
                <w:color w:val="000000" w:themeColor="text1"/>
                <w:sz w:val="24"/>
              </w:rPr>
              <w:t>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rsidR="006A3C10" w:rsidRPr="006A3C10" w:rsidRDefault="006A3C10" w:rsidP="006A3C10">
            <w:pPr>
              <w:spacing w:before="240" w:after="0" w:line="600" w:lineRule="auto"/>
              <w:jc w:val="center"/>
              <w:rPr>
                <w:rFonts w:cstheme="minorHAnsi"/>
                <w:color w:val="000000" w:themeColor="text1"/>
                <w:sz w:val="24"/>
              </w:rPr>
            </w:pPr>
            <w:r>
              <w:rPr>
                <w:rFonts w:cstheme="minorHAnsi"/>
                <w:color w:val="000000" w:themeColor="text1"/>
                <w:sz w:val="24"/>
              </w:rPr>
              <w:t>3.G.2</w:t>
            </w:r>
          </w:p>
        </w:tc>
        <w:tc>
          <w:tcPr>
            <w:tcW w:w="78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6A3C10" w:rsidRPr="006A3C10" w:rsidRDefault="006A3C10" w:rsidP="006A3C10">
            <w:pPr>
              <w:ind w:left="4"/>
              <w:rPr>
                <w:rFonts w:cstheme="minorHAnsi"/>
                <w:color w:val="000000" w:themeColor="text1"/>
                <w:sz w:val="24"/>
              </w:rPr>
            </w:pPr>
            <w:r w:rsidRPr="006A3C10">
              <w:rPr>
                <w:rFonts w:cstheme="minorHAnsi"/>
                <w:color w:val="000000" w:themeColor="text1"/>
                <w:sz w:val="24"/>
              </w:rPr>
              <w:t xml:space="preserve">Partition shapes into parts with equal areas. Express the area of each part as a unit fraction of the whole. </w:t>
            </w:r>
            <w:r w:rsidRPr="006A3C10">
              <w:rPr>
                <w:rFonts w:cstheme="minorHAnsi"/>
                <w:i/>
                <w:iCs/>
                <w:color w:val="000000" w:themeColor="text1"/>
                <w:sz w:val="24"/>
              </w:rPr>
              <w:t>For example, partition a shape into 4 parts with equal area, and describe the area of each part as 1/4 of the area of the shape.</w:t>
            </w:r>
          </w:p>
        </w:tc>
      </w:tr>
      <w:tr w:rsidR="006A3C10" w:rsidRPr="00595ED2" w:rsidTr="005E6546">
        <w:trPr>
          <w:trHeight w:val="478"/>
        </w:trPr>
        <w:tc>
          <w:tcPr>
            <w:tcW w:w="720" w:type="dxa"/>
            <w:tcBorders>
              <w:top w:val="single" w:sz="8" w:space="0" w:color="000000"/>
              <w:left w:val="single" w:sz="8" w:space="0" w:color="000000"/>
              <w:bottom w:val="single" w:sz="8" w:space="0" w:color="000000"/>
              <w:right w:val="single" w:sz="8" w:space="0" w:color="000000"/>
            </w:tcBorders>
            <w:shd w:val="clear" w:color="auto" w:fill="FFFFFF"/>
          </w:tcPr>
          <w:p w:rsidR="006A3C10" w:rsidRPr="006A3C10" w:rsidRDefault="006A3C10" w:rsidP="006A3C10">
            <w:pPr>
              <w:spacing w:before="240" w:after="0" w:line="600" w:lineRule="auto"/>
              <w:jc w:val="center"/>
              <w:rPr>
                <w:color w:val="000000" w:themeColor="text1"/>
                <w:sz w:val="24"/>
              </w:rPr>
            </w:pPr>
            <w:r w:rsidRPr="006A3C10">
              <w:rPr>
                <w:color w:val="000000" w:themeColor="text1"/>
                <w:sz w:val="24"/>
              </w:rPr>
              <w:t>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rsidR="006A3C10" w:rsidRPr="006A3C10" w:rsidRDefault="006A3C10" w:rsidP="006A3C10">
            <w:pPr>
              <w:spacing w:before="240" w:after="0" w:line="600" w:lineRule="auto"/>
              <w:jc w:val="center"/>
              <w:rPr>
                <w:color w:val="000000" w:themeColor="text1"/>
                <w:sz w:val="24"/>
              </w:rPr>
            </w:pPr>
            <w:r>
              <w:rPr>
                <w:color w:val="000000" w:themeColor="text1"/>
                <w:sz w:val="24"/>
              </w:rPr>
              <w:t>6.EE.1</w:t>
            </w:r>
          </w:p>
        </w:tc>
        <w:tc>
          <w:tcPr>
            <w:tcW w:w="78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6A3C10" w:rsidRPr="006A3C10" w:rsidRDefault="006A3C10" w:rsidP="00CD2437">
            <w:pPr>
              <w:autoSpaceDE w:val="0"/>
              <w:autoSpaceDN w:val="0"/>
              <w:adjustRightInd w:val="0"/>
              <w:spacing w:line="223" w:lineRule="atLeast"/>
              <w:rPr>
                <w:i/>
                <w:color w:val="000000" w:themeColor="text1"/>
                <w:sz w:val="24"/>
              </w:rPr>
            </w:pPr>
            <w:r w:rsidRPr="006A3C10">
              <w:rPr>
                <w:color w:val="000000" w:themeColor="text1"/>
                <w:sz w:val="24"/>
              </w:rPr>
              <w:t xml:space="preserve">Write and evaluate numerical expressions involving whole-number </w:t>
            </w:r>
            <w:r w:rsidRPr="006A3C10">
              <w:rPr>
                <w:sz w:val="24"/>
              </w:rPr>
              <w:t xml:space="preserve">exponents. </w:t>
            </w:r>
            <w:r w:rsidRPr="006A3C10">
              <w:rPr>
                <w:i/>
                <w:sz w:val="24"/>
              </w:rPr>
              <w:t>For example</w:t>
            </w:r>
            <w:r w:rsidR="00CD2437">
              <w:rPr>
                <w:i/>
                <w:sz w:val="24"/>
              </w:rPr>
              <w:t>,</w:t>
            </w:r>
            <w:r w:rsidRPr="006A3C10">
              <w:rPr>
                <w:i/>
                <w:sz w:val="24"/>
              </w:rPr>
              <w:t xml:space="preserve"> multiply by powers of 10 and prod</w:t>
            </w:r>
            <w:r w:rsidR="00AF653C">
              <w:rPr>
                <w:i/>
                <w:sz w:val="24"/>
              </w:rPr>
              <w:t>ucts of numbers using exponents</w:t>
            </w:r>
            <w:r w:rsidRPr="006A3C10">
              <w:rPr>
                <w:i/>
                <w:sz w:val="24"/>
              </w:rPr>
              <w:t xml:space="preserve"> (7•7•7</w:t>
            </w:r>
            <w:r w:rsidR="00CD2437">
              <w:rPr>
                <w:i/>
                <w:sz w:val="24"/>
              </w:rPr>
              <w:t xml:space="preserve"> = </w:t>
            </w:r>
            <w:r w:rsidR="00CD2437" w:rsidRPr="006A3C10">
              <w:rPr>
                <w:i/>
                <w:sz w:val="24"/>
              </w:rPr>
              <w:t>7</w:t>
            </w:r>
            <w:r w:rsidR="00CD2437" w:rsidRPr="006A3C10">
              <w:rPr>
                <w:i/>
                <w:sz w:val="24"/>
                <w:vertAlign w:val="superscript"/>
              </w:rPr>
              <w:t>3</w:t>
            </w:r>
            <w:r w:rsidRPr="006A3C10">
              <w:rPr>
                <w:i/>
                <w:sz w:val="24"/>
              </w:rPr>
              <w:t>)</w:t>
            </w:r>
            <w:r w:rsidR="00AF653C">
              <w:rPr>
                <w:i/>
                <w:sz w:val="24"/>
              </w:rPr>
              <w:t>.</w:t>
            </w:r>
          </w:p>
        </w:tc>
      </w:tr>
    </w:tbl>
    <w:p w:rsidR="0090496E" w:rsidRDefault="0090496E" w:rsidP="00A94A22">
      <w:pPr>
        <w:autoSpaceDE w:val="0"/>
        <w:autoSpaceDN w:val="0"/>
        <w:adjustRightInd w:val="0"/>
        <w:spacing w:after="0"/>
        <w:rPr>
          <w:rFonts w:asciiTheme="majorHAnsi" w:hAnsiTheme="majorHAnsi" w:cstheme="minorHAnsi"/>
          <w:sz w:val="24"/>
          <w:szCs w:val="24"/>
        </w:rPr>
      </w:pPr>
    </w:p>
    <w:p w:rsidR="0071493C" w:rsidRDefault="009673FC" w:rsidP="00D539B7">
      <w:pPr>
        <w:autoSpaceDE w:val="0"/>
        <w:autoSpaceDN w:val="0"/>
        <w:adjustRightInd w:val="0"/>
        <w:spacing w:before="120" w:after="120"/>
        <w:rPr>
          <w:rFonts w:asciiTheme="majorHAnsi" w:hAnsiTheme="majorHAnsi" w:cstheme="minorHAnsi"/>
          <w:sz w:val="24"/>
          <w:szCs w:val="24"/>
        </w:rPr>
      </w:pPr>
      <w:r w:rsidRPr="0090496E">
        <w:rPr>
          <w:rFonts w:asciiTheme="majorHAnsi" w:hAnsiTheme="majorHAnsi" w:cstheme="minorHAnsi"/>
          <w:i/>
          <w:sz w:val="24"/>
          <w:szCs w:val="24"/>
        </w:rPr>
        <w:t>Conceptual understanding</w:t>
      </w:r>
      <w:r w:rsidRPr="0090496E">
        <w:rPr>
          <w:rFonts w:asciiTheme="majorHAnsi" w:hAnsiTheme="majorHAnsi" w:cstheme="minorHAnsi"/>
          <w:b/>
          <w:sz w:val="24"/>
          <w:szCs w:val="24"/>
        </w:rPr>
        <w:t>:</w:t>
      </w:r>
      <w:r w:rsidRPr="00D539B7">
        <w:rPr>
          <w:rFonts w:asciiTheme="majorHAnsi" w:hAnsiTheme="majorHAnsi" w:cstheme="minorHAnsi"/>
          <w:i/>
          <w:sz w:val="24"/>
          <w:szCs w:val="24"/>
        </w:rPr>
        <w:t xml:space="preserve"> </w:t>
      </w:r>
      <w:r w:rsidRPr="00D539B7">
        <w:rPr>
          <w:rFonts w:asciiTheme="majorHAnsi" w:hAnsiTheme="majorHAnsi" w:cstheme="minorHAnsi"/>
          <w:sz w:val="24"/>
          <w:szCs w:val="24"/>
        </w:rPr>
        <w:t xml:space="preserve">The Standards call for conceptual understanding of key concepts, such as place value and ratios. Teachers support students’ ability to access concepts from a number of perspectives so that students are able to see math as more than a set of mnemonics or discrete procedures. </w:t>
      </w:r>
      <w:r w:rsidR="0071493C" w:rsidRPr="0090496E">
        <w:rPr>
          <w:rFonts w:asciiTheme="majorHAnsi" w:hAnsiTheme="majorHAnsi" w:cstheme="minorHAnsi"/>
          <w:sz w:val="24"/>
          <w:szCs w:val="24"/>
        </w:rPr>
        <w:t>Conceptual understanding standards often use the terms “understand” and “recognize.”</w:t>
      </w:r>
    </w:p>
    <w:p w:rsidR="004933CF" w:rsidRDefault="004933CF" w:rsidP="00A94A22">
      <w:pPr>
        <w:autoSpaceDE w:val="0"/>
        <w:autoSpaceDN w:val="0"/>
        <w:adjustRightInd w:val="0"/>
        <w:spacing w:after="0" w:line="240" w:lineRule="auto"/>
        <w:rPr>
          <w:rFonts w:asciiTheme="majorHAnsi" w:hAnsiTheme="majorHAnsi" w:cstheme="minorHAnsi"/>
          <w:sz w:val="24"/>
          <w:szCs w:val="24"/>
        </w:rPr>
      </w:pPr>
    </w:p>
    <w:tbl>
      <w:tblPr>
        <w:tblW w:w="9540" w:type="dxa"/>
        <w:tblInd w:w="-80" w:type="dxa"/>
        <w:tblCellMar>
          <w:left w:w="0" w:type="dxa"/>
          <w:right w:w="0" w:type="dxa"/>
        </w:tblCellMar>
        <w:tblLook w:val="0420" w:firstRow="1" w:lastRow="0" w:firstColumn="0" w:lastColumn="0" w:noHBand="0" w:noVBand="1"/>
      </w:tblPr>
      <w:tblGrid>
        <w:gridCol w:w="720"/>
        <w:gridCol w:w="990"/>
        <w:gridCol w:w="7830"/>
      </w:tblGrid>
      <w:tr w:rsidR="00380375" w:rsidRPr="006E05AD" w:rsidTr="005E6546">
        <w:trPr>
          <w:trHeight w:val="325"/>
        </w:trPr>
        <w:tc>
          <w:tcPr>
            <w:tcW w:w="72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380375" w:rsidRPr="00A94A22" w:rsidRDefault="00380375" w:rsidP="006A3C10">
            <w:pPr>
              <w:jc w:val="center"/>
              <w:rPr>
                <w:b/>
                <w:bCs/>
                <w:sz w:val="24"/>
              </w:rPr>
            </w:pPr>
            <w:r>
              <w:rPr>
                <w:b/>
                <w:bCs/>
                <w:sz w:val="24"/>
              </w:rPr>
              <w:t>Grade</w:t>
            </w:r>
          </w:p>
        </w:tc>
        <w:tc>
          <w:tcPr>
            <w:tcW w:w="99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380375" w:rsidRPr="00A94A22" w:rsidRDefault="00380375" w:rsidP="006A3C10">
            <w:pPr>
              <w:jc w:val="center"/>
              <w:rPr>
                <w:b/>
                <w:bCs/>
                <w:sz w:val="24"/>
              </w:rPr>
            </w:pPr>
            <w:r>
              <w:rPr>
                <w:b/>
                <w:bCs/>
                <w:sz w:val="24"/>
              </w:rPr>
              <w:t>Standard</w:t>
            </w:r>
          </w:p>
        </w:tc>
        <w:tc>
          <w:tcPr>
            <w:tcW w:w="783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380375" w:rsidRPr="00A94A22" w:rsidRDefault="00380375" w:rsidP="005E6546">
            <w:pPr>
              <w:jc w:val="center"/>
              <w:rPr>
                <w:b/>
                <w:bCs/>
                <w:sz w:val="24"/>
              </w:rPr>
            </w:pPr>
            <w:r w:rsidRPr="00A94A22">
              <w:rPr>
                <w:b/>
                <w:bCs/>
                <w:sz w:val="24"/>
              </w:rPr>
              <w:t>Deep Conceptual Understanding Standards Examples</w:t>
            </w:r>
          </w:p>
        </w:tc>
      </w:tr>
      <w:tr w:rsidR="00380375" w:rsidRPr="00595ED2" w:rsidTr="005E6546">
        <w:trPr>
          <w:trHeight w:val="478"/>
        </w:trPr>
        <w:tc>
          <w:tcPr>
            <w:tcW w:w="720" w:type="dxa"/>
            <w:tcBorders>
              <w:top w:val="single" w:sz="8" w:space="0" w:color="000000"/>
              <w:left w:val="single" w:sz="8" w:space="0" w:color="000000"/>
              <w:bottom w:val="single" w:sz="8" w:space="0" w:color="000000"/>
              <w:right w:val="single" w:sz="8" w:space="0" w:color="000000"/>
            </w:tcBorders>
            <w:shd w:val="clear" w:color="auto" w:fill="FFFFFF"/>
          </w:tcPr>
          <w:p w:rsidR="00380375" w:rsidRPr="00A94A22" w:rsidRDefault="00380375" w:rsidP="00380375">
            <w:pPr>
              <w:spacing w:before="240" w:after="0"/>
              <w:jc w:val="center"/>
              <w:rPr>
                <w:color w:val="000000" w:themeColor="text1"/>
                <w:sz w:val="24"/>
              </w:rPr>
            </w:pPr>
            <w:r>
              <w:rPr>
                <w:color w:val="000000" w:themeColor="text1"/>
                <w:sz w:val="24"/>
              </w:rPr>
              <w:t>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rsidR="00380375" w:rsidRPr="00A94A22" w:rsidRDefault="00380375" w:rsidP="00380375">
            <w:pPr>
              <w:spacing w:before="240" w:after="0"/>
              <w:jc w:val="center"/>
              <w:rPr>
                <w:color w:val="000000" w:themeColor="text1"/>
                <w:sz w:val="24"/>
              </w:rPr>
            </w:pPr>
            <w:r>
              <w:rPr>
                <w:color w:val="000000" w:themeColor="text1"/>
                <w:sz w:val="24"/>
              </w:rPr>
              <w:t>3.NBT.1</w:t>
            </w:r>
          </w:p>
        </w:tc>
        <w:tc>
          <w:tcPr>
            <w:tcW w:w="78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80375" w:rsidRPr="00A94A22" w:rsidRDefault="00380375" w:rsidP="00380375">
            <w:pPr>
              <w:spacing w:after="0"/>
              <w:rPr>
                <w:color w:val="000000" w:themeColor="text1"/>
                <w:sz w:val="24"/>
              </w:rPr>
            </w:pPr>
            <w:r w:rsidRPr="00A94A22">
              <w:rPr>
                <w:color w:val="000000" w:themeColor="text1"/>
                <w:sz w:val="24"/>
              </w:rPr>
              <w:t>Use place value understanding to round whole numbers to the nearest 10 or 100.</w:t>
            </w:r>
          </w:p>
        </w:tc>
      </w:tr>
      <w:tr w:rsidR="00380375" w:rsidRPr="00595ED2" w:rsidTr="005E6546">
        <w:trPr>
          <w:trHeight w:val="478"/>
        </w:trPr>
        <w:tc>
          <w:tcPr>
            <w:tcW w:w="720" w:type="dxa"/>
            <w:tcBorders>
              <w:top w:val="single" w:sz="8" w:space="0" w:color="000000"/>
              <w:left w:val="single" w:sz="8" w:space="0" w:color="000000"/>
              <w:bottom w:val="single" w:sz="8" w:space="0" w:color="000000"/>
              <w:right w:val="single" w:sz="8" w:space="0" w:color="000000"/>
            </w:tcBorders>
            <w:shd w:val="clear" w:color="auto" w:fill="FFFFFF"/>
          </w:tcPr>
          <w:p w:rsidR="00380375" w:rsidRPr="00A94A22" w:rsidRDefault="00380375" w:rsidP="00380375">
            <w:pPr>
              <w:spacing w:before="240" w:after="0"/>
              <w:jc w:val="center"/>
              <w:rPr>
                <w:color w:val="000000" w:themeColor="text1"/>
                <w:sz w:val="24"/>
              </w:rPr>
            </w:pPr>
            <w:r>
              <w:rPr>
                <w:color w:val="000000" w:themeColor="text1"/>
                <w:sz w:val="24"/>
              </w:rPr>
              <w:t>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rsidR="00380375" w:rsidRPr="00A94A22" w:rsidRDefault="00380375" w:rsidP="00380375">
            <w:pPr>
              <w:spacing w:before="240" w:after="0"/>
              <w:jc w:val="center"/>
              <w:rPr>
                <w:color w:val="000000" w:themeColor="text1"/>
                <w:sz w:val="24"/>
              </w:rPr>
            </w:pPr>
            <w:r>
              <w:rPr>
                <w:color w:val="000000" w:themeColor="text1"/>
                <w:sz w:val="24"/>
              </w:rPr>
              <w:t>6.NS.5</w:t>
            </w:r>
          </w:p>
        </w:tc>
        <w:tc>
          <w:tcPr>
            <w:tcW w:w="78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80375" w:rsidRPr="00A94A22" w:rsidRDefault="00380375" w:rsidP="00380375">
            <w:pPr>
              <w:spacing w:after="0"/>
              <w:rPr>
                <w:color w:val="000000" w:themeColor="text1"/>
                <w:sz w:val="24"/>
              </w:rPr>
            </w:pPr>
            <w:r w:rsidRPr="00A94A22">
              <w:rPr>
                <w:color w:val="000000" w:themeColor="text1"/>
                <w:sz w:val="24"/>
              </w:rPr>
              <w:t xml:space="preserve">Understand that positive and negative numbers describe quantities having opposite directions or values (e.g., temperature above/below zero, elevation above/below sea level, credits/debits, positive/negative electric charge); use positive and negative numbers to represent quantities in real-world contexts, explain the meaning of 0 in each situation. </w:t>
            </w:r>
          </w:p>
        </w:tc>
      </w:tr>
    </w:tbl>
    <w:p w:rsidR="005E6546" w:rsidRDefault="005E6546" w:rsidP="009673FC">
      <w:pPr>
        <w:autoSpaceDE w:val="0"/>
        <w:autoSpaceDN w:val="0"/>
        <w:adjustRightInd w:val="0"/>
        <w:spacing w:before="120" w:after="120"/>
        <w:rPr>
          <w:rFonts w:asciiTheme="majorHAnsi" w:hAnsiTheme="majorHAnsi" w:cstheme="minorHAnsi"/>
          <w:i/>
          <w:sz w:val="24"/>
          <w:szCs w:val="24"/>
        </w:rPr>
      </w:pPr>
    </w:p>
    <w:p w:rsidR="00D539B7" w:rsidRPr="006C0564" w:rsidRDefault="009673FC" w:rsidP="009673FC">
      <w:pPr>
        <w:autoSpaceDE w:val="0"/>
        <w:autoSpaceDN w:val="0"/>
        <w:adjustRightInd w:val="0"/>
        <w:spacing w:before="120" w:after="120"/>
        <w:rPr>
          <w:rFonts w:asciiTheme="majorHAnsi" w:hAnsiTheme="majorHAnsi" w:cstheme="minorHAnsi"/>
          <w:sz w:val="24"/>
          <w:szCs w:val="24"/>
        </w:rPr>
      </w:pPr>
      <w:r w:rsidRPr="00E10137">
        <w:rPr>
          <w:rFonts w:asciiTheme="majorHAnsi" w:hAnsiTheme="majorHAnsi" w:cstheme="minorHAnsi"/>
          <w:i/>
          <w:sz w:val="24"/>
          <w:szCs w:val="24"/>
        </w:rPr>
        <w:t>Procedural skill and fluency:</w:t>
      </w:r>
      <w:r w:rsidRPr="005F62C8">
        <w:rPr>
          <w:rFonts w:asciiTheme="majorHAnsi" w:hAnsiTheme="majorHAnsi" w:cstheme="minorHAnsi"/>
          <w:sz w:val="24"/>
          <w:szCs w:val="24"/>
        </w:rPr>
        <w:t xml:space="preserve"> The Standards call for speed and accuracy in calculation. Teachers structure class time and/or homework time for students to practice </w:t>
      </w:r>
      <w:r>
        <w:rPr>
          <w:rFonts w:asciiTheme="majorHAnsi" w:hAnsiTheme="majorHAnsi" w:cstheme="minorHAnsi"/>
          <w:sz w:val="24"/>
          <w:szCs w:val="24"/>
        </w:rPr>
        <w:t>core functions such as single-</w:t>
      </w:r>
      <w:r w:rsidRPr="005F62C8">
        <w:rPr>
          <w:rFonts w:asciiTheme="majorHAnsi" w:hAnsiTheme="majorHAnsi" w:cstheme="minorHAnsi"/>
          <w:sz w:val="24"/>
          <w:szCs w:val="24"/>
        </w:rPr>
        <w:t xml:space="preserve">digit multiplication so that students have access to more </w:t>
      </w:r>
      <w:r>
        <w:rPr>
          <w:rFonts w:asciiTheme="majorHAnsi" w:hAnsiTheme="majorHAnsi" w:cstheme="minorHAnsi"/>
          <w:sz w:val="24"/>
          <w:szCs w:val="24"/>
        </w:rPr>
        <w:t xml:space="preserve">complex concepts and procedures. </w:t>
      </w:r>
      <w:r w:rsidR="006C0564">
        <w:rPr>
          <w:rFonts w:asciiTheme="majorHAnsi" w:hAnsiTheme="majorHAnsi" w:cstheme="minorHAnsi"/>
          <w:sz w:val="24"/>
          <w:szCs w:val="24"/>
        </w:rPr>
        <w:t xml:space="preserve">Fluency standards </w:t>
      </w:r>
      <w:r w:rsidR="006C0564" w:rsidRPr="006C0564">
        <w:rPr>
          <w:rFonts w:asciiTheme="majorHAnsi" w:hAnsiTheme="majorHAnsi" w:cstheme="minorHAnsi"/>
          <w:sz w:val="24"/>
          <w:szCs w:val="24"/>
        </w:rPr>
        <w:t>clearly state “fluently” in the standards</w:t>
      </w:r>
      <w:r w:rsidR="006C0564">
        <w:rPr>
          <w:rFonts w:asciiTheme="majorHAnsi" w:hAnsiTheme="majorHAnsi" w:cstheme="minorHAnsi"/>
          <w:sz w:val="24"/>
          <w:szCs w:val="24"/>
        </w:rPr>
        <w:t>.</w:t>
      </w:r>
    </w:p>
    <w:tbl>
      <w:tblPr>
        <w:tblW w:w="9180" w:type="dxa"/>
        <w:tblInd w:w="198" w:type="dxa"/>
        <w:tblCellMar>
          <w:left w:w="0" w:type="dxa"/>
          <w:right w:w="0" w:type="dxa"/>
        </w:tblCellMar>
        <w:tblLook w:val="0420" w:firstRow="1" w:lastRow="0" w:firstColumn="0" w:lastColumn="0" w:noHBand="0" w:noVBand="1"/>
      </w:tblPr>
      <w:tblGrid>
        <w:gridCol w:w="900"/>
        <w:gridCol w:w="1350"/>
        <w:gridCol w:w="6930"/>
      </w:tblGrid>
      <w:tr w:rsidR="009673FC" w:rsidRPr="00595ED2" w:rsidTr="00AE7586">
        <w:trPr>
          <w:trHeight w:val="325"/>
        </w:trPr>
        <w:tc>
          <w:tcPr>
            <w:tcW w:w="90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9673FC" w:rsidRPr="00A94A22" w:rsidRDefault="009673FC" w:rsidP="00967849">
            <w:pPr>
              <w:rPr>
                <w:sz w:val="24"/>
              </w:rPr>
            </w:pPr>
            <w:r w:rsidRPr="00A94A22">
              <w:rPr>
                <w:b/>
                <w:bCs/>
                <w:sz w:val="24"/>
              </w:rPr>
              <w:t>Grade</w:t>
            </w:r>
          </w:p>
        </w:tc>
        <w:tc>
          <w:tcPr>
            <w:tcW w:w="135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9673FC" w:rsidRPr="00A94A22" w:rsidRDefault="009673FC" w:rsidP="00967849">
            <w:pPr>
              <w:rPr>
                <w:sz w:val="24"/>
              </w:rPr>
            </w:pPr>
            <w:r w:rsidRPr="00A94A22">
              <w:rPr>
                <w:b/>
                <w:bCs/>
                <w:sz w:val="24"/>
              </w:rPr>
              <w:t>Standard</w:t>
            </w:r>
          </w:p>
        </w:tc>
        <w:tc>
          <w:tcPr>
            <w:tcW w:w="693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9673FC" w:rsidRPr="00A94A22" w:rsidRDefault="009673FC" w:rsidP="006C0564">
            <w:pPr>
              <w:rPr>
                <w:sz w:val="24"/>
              </w:rPr>
            </w:pPr>
            <w:r w:rsidRPr="00A94A22">
              <w:rPr>
                <w:b/>
                <w:bCs/>
                <w:sz w:val="24"/>
              </w:rPr>
              <w:t>Required Fluency</w:t>
            </w:r>
            <w:r w:rsidR="0071493C" w:rsidRPr="00A94A22">
              <w:rPr>
                <w:b/>
                <w:bCs/>
                <w:sz w:val="24"/>
              </w:rPr>
              <w:t xml:space="preserve"> </w:t>
            </w:r>
          </w:p>
        </w:tc>
      </w:tr>
      <w:tr w:rsidR="009673FC" w:rsidRPr="00595ED2" w:rsidTr="00AE7586">
        <w:trPr>
          <w:trHeight w:val="325"/>
        </w:trPr>
        <w:tc>
          <w:tcPr>
            <w:tcW w:w="90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B60B80">
            <w:pPr>
              <w:jc w:val="center"/>
              <w:rPr>
                <w:sz w:val="24"/>
              </w:rPr>
            </w:pPr>
            <w:r w:rsidRPr="00A94A22">
              <w:rPr>
                <w:sz w:val="24"/>
              </w:rPr>
              <w:t>K</w:t>
            </w:r>
          </w:p>
        </w:tc>
        <w:tc>
          <w:tcPr>
            <w:tcW w:w="135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72798F">
            <w:pPr>
              <w:jc w:val="center"/>
              <w:rPr>
                <w:sz w:val="24"/>
              </w:rPr>
            </w:pPr>
            <w:r w:rsidRPr="00A94A22">
              <w:rPr>
                <w:sz w:val="24"/>
              </w:rPr>
              <w:t>K.OA.5</w:t>
            </w:r>
          </w:p>
        </w:tc>
        <w:tc>
          <w:tcPr>
            <w:tcW w:w="693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967849">
            <w:pPr>
              <w:rPr>
                <w:sz w:val="24"/>
              </w:rPr>
            </w:pPr>
            <w:r w:rsidRPr="00A94A22">
              <w:rPr>
                <w:sz w:val="24"/>
              </w:rPr>
              <w:t>Add/subtract up to 5</w:t>
            </w:r>
          </w:p>
        </w:tc>
      </w:tr>
      <w:tr w:rsidR="009673FC" w:rsidRPr="00595ED2" w:rsidTr="00AE7586">
        <w:trPr>
          <w:trHeight w:val="478"/>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B60B80">
            <w:pPr>
              <w:jc w:val="center"/>
              <w:rPr>
                <w:sz w:val="24"/>
              </w:rPr>
            </w:pPr>
            <w:r w:rsidRPr="00A94A22">
              <w:rPr>
                <w:sz w:val="24"/>
              </w:rPr>
              <w:t>1</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72798F">
            <w:pPr>
              <w:jc w:val="center"/>
              <w:rPr>
                <w:sz w:val="24"/>
              </w:rPr>
            </w:pPr>
            <w:r w:rsidRPr="00A94A22">
              <w:rPr>
                <w:sz w:val="24"/>
              </w:rPr>
              <w:t>1.OA.6</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967849">
            <w:pPr>
              <w:rPr>
                <w:sz w:val="24"/>
              </w:rPr>
            </w:pPr>
            <w:r w:rsidRPr="00A94A22">
              <w:rPr>
                <w:sz w:val="24"/>
              </w:rPr>
              <w:t>Add/subtract up to 10</w:t>
            </w:r>
          </w:p>
        </w:tc>
      </w:tr>
      <w:tr w:rsidR="009673FC" w:rsidRPr="00595ED2" w:rsidTr="00AE7586">
        <w:trPr>
          <w:trHeight w:val="1018"/>
        </w:trPr>
        <w:tc>
          <w:tcPr>
            <w:tcW w:w="90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B60B80">
            <w:pPr>
              <w:jc w:val="center"/>
              <w:rPr>
                <w:sz w:val="24"/>
              </w:rPr>
            </w:pPr>
            <w:r w:rsidRPr="00A94A22">
              <w:rPr>
                <w:sz w:val="24"/>
              </w:rPr>
              <w:t>2</w:t>
            </w:r>
          </w:p>
        </w:tc>
        <w:tc>
          <w:tcPr>
            <w:tcW w:w="135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72798F">
            <w:pPr>
              <w:jc w:val="center"/>
              <w:rPr>
                <w:sz w:val="24"/>
              </w:rPr>
            </w:pPr>
            <w:r w:rsidRPr="00A94A22">
              <w:rPr>
                <w:sz w:val="24"/>
              </w:rPr>
              <w:t>2.OA.2</w:t>
            </w:r>
          </w:p>
          <w:p w:rsidR="009673FC" w:rsidRPr="00A94A22" w:rsidRDefault="009673FC" w:rsidP="0072798F">
            <w:pPr>
              <w:jc w:val="center"/>
              <w:rPr>
                <w:sz w:val="24"/>
              </w:rPr>
            </w:pPr>
            <w:r w:rsidRPr="00A94A22">
              <w:rPr>
                <w:sz w:val="24"/>
              </w:rPr>
              <w:t>2.NBT.5</w:t>
            </w:r>
          </w:p>
        </w:tc>
        <w:tc>
          <w:tcPr>
            <w:tcW w:w="693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9A6D4B">
            <w:pPr>
              <w:spacing w:after="120"/>
              <w:rPr>
                <w:sz w:val="24"/>
              </w:rPr>
            </w:pPr>
            <w:r w:rsidRPr="00A94A22">
              <w:rPr>
                <w:sz w:val="24"/>
              </w:rPr>
              <w:t>Add/subtract up to 20 (know single-digit sums from memory)</w:t>
            </w:r>
          </w:p>
          <w:p w:rsidR="009673FC" w:rsidRPr="00A94A22" w:rsidRDefault="009673FC" w:rsidP="009A6D4B">
            <w:pPr>
              <w:spacing w:after="120"/>
              <w:rPr>
                <w:sz w:val="24"/>
              </w:rPr>
            </w:pPr>
            <w:r w:rsidRPr="00A94A22">
              <w:rPr>
                <w:sz w:val="24"/>
              </w:rPr>
              <w:t>Add/subtract up to 100</w:t>
            </w:r>
          </w:p>
        </w:tc>
      </w:tr>
      <w:tr w:rsidR="009673FC" w:rsidRPr="00595ED2" w:rsidTr="00AE7586">
        <w:trPr>
          <w:trHeight w:val="1198"/>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B60B80">
            <w:pPr>
              <w:jc w:val="center"/>
              <w:rPr>
                <w:sz w:val="24"/>
              </w:rPr>
            </w:pPr>
            <w:r w:rsidRPr="00A94A22">
              <w:rPr>
                <w:sz w:val="24"/>
              </w:rPr>
              <w:t>3</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72798F">
            <w:pPr>
              <w:jc w:val="center"/>
              <w:rPr>
                <w:sz w:val="24"/>
              </w:rPr>
            </w:pPr>
            <w:r w:rsidRPr="00A94A22">
              <w:rPr>
                <w:sz w:val="24"/>
              </w:rPr>
              <w:t>3.OA.7</w:t>
            </w:r>
          </w:p>
          <w:p w:rsidR="009673FC" w:rsidRPr="00A94A22" w:rsidRDefault="009673FC" w:rsidP="0072798F">
            <w:pPr>
              <w:jc w:val="center"/>
              <w:rPr>
                <w:sz w:val="24"/>
              </w:rPr>
            </w:pPr>
            <w:r w:rsidRPr="00A94A22">
              <w:rPr>
                <w:sz w:val="24"/>
              </w:rPr>
              <w:t>3.NBT.2</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9A6D4B">
            <w:pPr>
              <w:spacing w:after="120"/>
              <w:rPr>
                <w:sz w:val="24"/>
              </w:rPr>
            </w:pPr>
            <w:r w:rsidRPr="00A94A22">
              <w:rPr>
                <w:sz w:val="24"/>
              </w:rPr>
              <w:t>Multiply/divide up to 100 (know single-digit products from memory)</w:t>
            </w:r>
          </w:p>
          <w:p w:rsidR="009673FC" w:rsidRPr="00A94A22" w:rsidRDefault="009673FC" w:rsidP="009A6D4B">
            <w:pPr>
              <w:spacing w:after="120"/>
              <w:rPr>
                <w:sz w:val="24"/>
              </w:rPr>
            </w:pPr>
            <w:r w:rsidRPr="00A94A22">
              <w:rPr>
                <w:sz w:val="24"/>
              </w:rPr>
              <w:t>Add/subtract up to 1000</w:t>
            </w:r>
          </w:p>
        </w:tc>
      </w:tr>
      <w:tr w:rsidR="009673FC" w:rsidRPr="00595ED2" w:rsidTr="00AE7586">
        <w:trPr>
          <w:trHeight w:val="298"/>
        </w:trPr>
        <w:tc>
          <w:tcPr>
            <w:tcW w:w="90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B60B80">
            <w:pPr>
              <w:jc w:val="center"/>
              <w:rPr>
                <w:sz w:val="24"/>
              </w:rPr>
            </w:pPr>
            <w:r w:rsidRPr="00A94A22">
              <w:rPr>
                <w:sz w:val="24"/>
              </w:rPr>
              <w:t>4</w:t>
            </w:r>
          </w:p>
        </w:tc>
        <w:tc>
          <w:tcPr>
            <w:tcW w:w="135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72798F">
            <w:pPr>
              <w:jc w:val="center"/>
              <w:rPr>
                <w:sz w:val="24"/>
              </w:rPr>
            </w:pPr>
            <w:r w:rsidRPr="00A94A22">
              <w:rPr>
                <w:sz w:val="24"/>
              </w:rPr>
              <w:t>4.NBT.4</w:t>
            </w:r>
          </w:p>
        </w:tc>
        <w:tc>
          <w:tcPr>
            <w:tcW w:w="693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967849">
            <w:pPr>
              <w:rPr>
                <w:sz w:val="24"/>
              </w:rPr>
            </w:pPr>
            <w:r w:rsidRPr="00A94A22">
              <w:rPr>
                <w:sz w:val="24"/>
              </w:rPr>
              <w:t>Add/subtract up to 1,000,000</w:t>
            </w:r>
          </w:p>
        </w:tc>
      </w:tr>
      <w:tr w:rsidR="009673FC" w:rsidRPr="00595ED2" w:rsidTr="00AE7586">
        <w:trPr>
          <w:trHeight w:val="307"/>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B60B80">
            <w:pPr>
              <w:jc w:val="center"/>
              <w:rPr>
                <w:sz w:val="24"/>
              </w:rPr>
            </w:pPr>
            <w:r w:rsidRPr="00A94A22">
              <w:rPr>
                <w:sz w:val="24"/>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72798F">
            <w:pPr>
              <w:jc w:val="center"/>
              <w:rPr>
                <w:sz w:val="24"/>
              </w:rPr>
            </w:pPr>
            <w:r w:rsidRPr="00A94A22">
              <w:rPr>
                <w:sz w:val="24"/>
              </w:rPr>
              <w:t>5.NBT.5</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673FC" w:rsidRPr="00A94A22" w:rsidRDefault="009673FC" w:rsidP="00967849">
            <w:pPr>
              <w:rPr>
                <w:sz w:val="24"/>
              </w:rPr>
            </w:pPr>
            <w:r w:rsidRPr="00A94A22">
              <w:rPr>
                <w:sz w:val="24"/>
              </w:rPr>
              <w:t>Multi-digit multiplication</w:t>
            </w:r>
          </w:p>
        </w:tc>
      </w:tr>
      <w:tr w:rsidR="009673FC" w:rsidRPr="00595ED2" w:rsidTr="00AE7586">
        <w:trPr>
          <w:trHeight w:val="820"/>
        </w:trPr>
        <w:tc>
          <w:tcPr>
            <w:tcW w:w="90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B60B80">
            <w:pPr>
              <w:jc w:val="center"/>
              <w:rPr>
                <w:sz w:val="24"/>
              </w:rPr>
            </w:pPr>
            <w:r w:rsidRPr="00A94A22">
              <w:rPr>
                <w:sz w:val="24"/>
              </w:rPr>
              <w:t>6</w:t>
            </w:r>
          </w:p>
        </w:tc>
        <w:tc>
          <w:tcPr>
            <w:tcW w:w="135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673FC" w:rsidRPr="00A94A22" w:rsidRDefault="009673FC" w:rsidP="0072798F">
            <w:pPr>
              <w:jc w:val="center"/>
              <w:rPr>
                <w:sz w:val="24"/>
              </w:rPr>
            </w:pPr>
            <w:r w:rsidRPr="00A94A22">
              <w:rPr>
                <w:sz w:val="24"/>
              </w:rPr>
              <w:t>6.NS.2,3</w:t>
            </w:r>
          </w:p>
        </w:tc>
        <w:tc>
          <w:tcPr>
            <w:tcW w:w="693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9A6D4B" w:rsidRPr="00A94A22" w:rsidRDefault="009673FC" w:rsidP="009A6D4B">
            <w:pPr>
              <w:spacing w:after="120"/>
              <w:rPr>
                <w:sz w:val="24"/>
              </w:rPr>
            </w:pPr>
            <w:r w:rsidRPr="00A94A22">
              <w:rPr>
                <w:sz w:val="24"/>
              </w:rPr>
              <w:t>Multi-digit division</w:t>
            </w:r>
          </w:p>
          <w:p w:rsidR="009673FC" w:rsidRPr="00A94A22" w:rsidRDefault="009673FC" w:rsidP="009A6D4B">
            <w:pPr>
              <w:spacing w:after="120"/>
              <w:rPr>
                <w:sz w:val="24"/>
              </w:rPr>
            </w:pPr>
            <w:r w:rsidRPr="00A94A22">
              <w:rPr>
                <w:sz w:val="24"/>
              </w:rPr>
              <w:t>Multi-digit decimal operations</w:t>
            </w:r>
          </w:p>
        </w:tc>
      </w:tr>
    </w:tbl>
    <w:p w:rsidR="009673FC" w:rsidRPr="005F62C8" w:rsidRDefault="009673FC" w:rsidP="00A94A22">
      <w:pPr>
        <w:autoSpaceDE w:val="0"/>
        <w:autoSpaceDN w:val="0"/>
        <w:adjustRightInd w:val="0"/>
        <w:spacing w:after="120" w:line="240" w:lineRule="auto"/>
        <w:rPr>
          <w:rFonts w:asciiTheme="majorHAnsi" w:hAnsiTheme="majorHAnsi" w:cstheme="minorHAnsi"/>
          <w:sz w:val="24"/>
          <w:szCs w:val="24"/>
        </w:rPr>
      </w:pPr>
    </w:p>
    <w:p w:rsidR="006974A2" w:rsidRDefault="009673FC">
      <w:pPr>
        <w:rPr>
          <w:rFonts w:asciiTheme="majorHAnsi" w:hAnsiTheme="majorHAnsi" w:cstheme="minorHAnsi"/>
          <w:sz w:val="24"/>
          <w:szCs w:val="24"/>
        </w:rPr>
      </w:pPr>
      <w:r>
        <w:rPr>
          <w:rFonts w:asciiTheme="majorHAnsi" w:hAnsiTheme="majorHAnsi" w:cstheme="minorHAnsi"/>
          <w:i/>
          <w:sz w:val="24"/>
          <w:szCs w:val="24"/>
        </w:rPr>
        <w:t>A</w:t>
      </w:r>
      <w:r w:rsidR="00944D0A" w:rsidRPr="00E10137">
        <w:rPr>
          <w:rFonts w:asciiTheme="majorHAnsi" w:hAnsiTheme="majorHAnsi" w:cstheme="minorHAnsi"/>
          <w:i/>
          <w:sz w:val="24"/>
          <w:szCs w:val="24"/>
        </w:rPr>
        <w:t>pplication:</w:t>
      </w:r>
      <w:r w:rsidR="00944D0A" w:rsidRPr="005F62C8">
        <w:rPr>
          <w:rFonts w:asciiTheme="majorHAnsi" w:hAnsiTheme="majorHAnsi" w:cstheme="minorHAnsi"/>
          <w:sz w:val="24"/>
          <w:szCs w:val="24"/>
        </w:rPr>
        <w:t xml:space="preserve"> The Standards call for students to use math flexibly for applications. Teachers provide opportunities for students to apply math in context. Teachers in content areas outside of math, particularly science, ensure that students are using math to</w:t>
      </w:r>
      <w:r w:rsidR="0072798F">
        <w:rPr>
          <w:rFonts w:asciiTheme="majorHAnsi" w:hAnsiTheme="majorHAnsi" w:cstheme="minorHAnsi"/>
          <w:sz w:val="24"/>
          <w:szCs w:val="24"/>
        </w:rPr>
        <w:t xml:space="preserve"> access and</w:t>
      </w:r>
      <w:r w:rsidR="00944D0A" w:rsidRPr="005F62C8">
        <w:rPr>
          <w:rFonts w:asciiTheme="majorHAnsi" w:hAnsiTheme="majorHAnsi" w:cstheme="minorHAnsi"/>
          <w:sz w:val="24"/>
          <w:szCs w:val="24"/>
        </w:rPr>
        <w:t xml:space="preserve"> make meaning of content.</w:t>
      </w:r>
      <w:r w:rsidR="0071493C">
        <w:rPr>
          <w:rFonts w:asciiTheme="majorHAnsi" w:hAnsiTheme="majorHAnsi" w:cstheme="minorHAnsi"/>
          <w:sz w:val="24"/>
          <w:szCs w:val="24"/>
        </w:rPr>
        <w:t xml:space="preserve"> </w:t>
      </w:r>
      <w:r w:rsidRPr="0071493C">
        <w:rPr>
          <w:rFonts w:asciiTheme="majorHAnsi" w:hAnsiTheme="majorHAnsi" w:cstheme="minorHAnsi"/>
          <w:sz w:val="24"/>
          <w:szCs w:val="24"/>
        </w:rPr>
        <w:t xml:space="preserve">Application standards typically state “apply” or </w:t>
      </w:r>
      <w:r w:rsidR="0071493C">
        <w:rPr>
          <w:rFonts w:asciiTheme="majorHAnsi" w:hAnsiTheme="majorHAnsi" w:cstheme="minorHAnsi"/>
          <w:sz w:val="24"/>
          <w:szCs w:val="24"/>
        </w:rPr>
        <w:t>“</w:t>
      </w:r>
      <w:r w:rsidRPr="0071493C">
        <w:rPr>
          <w:rFonts w:asciiTheme="majorHAnsi" w:hAnsiTheme="majorHAnsi" w:cstheme="minorHAnsi"/>
          <w:sz w:val="24"/>
          <w:szCs w:val="24"/>
        </w:rPr>
        <w:t>solve.”</w:t>
      </w:r>
    </w:p>
    <w:tbl>
      <w:tblPr>
        <w:tblW w:w="9180" w:type="dxa"/>
        <w:tblInd w:w="198" w:type="dxa"/>
        <w:tblCellMar>
          <w:left w:w="0" w:type="dxa"/>
          <w:right w:w="0" w:type="dxa"/>
        </w:tblCellMar>
        <w:tblLook w:val="0420" w:firstRow="1" w:lastRow="0" w:firstColumn="0" w:lastColumn="0" w:noHBand="0" w:noVBand="1"/>
      </w:tblPr>
      <w:tblGrid>
        <w:gridCol w:w="823"/>
        <w:gridCol w:w="1122"/>
        <w:gridCol w:w="7235"/>
      </w:tblGrid>
      <w:tr w:rsidR="009A6D4B" w:rsidRPr="00595ED2" w:rsidTr="00AF45E8">
        <w:trPr>
          <w:trHeight w:val="325"/>
        </w:trPr>
        <w:tc>
          <w:tcPr>
            <w:tcW w:w="82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9A6D4B" w:rsidRPr="00A94A22" w:rsidRDefault="009A6D4B" w:rsidP="00462D3B">
            <w:pPr>
              <w:rPr>
                <w:sz w:val="24"/>
              </w:rPr>
            </w:pPr>
            <w:r w:rsidRPr="00A94A22">
              <w:rPr>
                <w:b/>
                <w:bCs/>
                <w:sz w:val="24"/>
              </w:rPr>
              <w:t>Grade</w:t>
            </w:r>
          </w:p>
        </w:tc>
        <w:tc>
          <w:tcPr>
            <w:tcW w:w="10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9A6D4B" w:rsidRPr="00A94A22" w:rsidRDefault="009A6D4B" w:rsidP="00462D3B">
            <w:pPr>
              <w:rPr>
                <w:sz w:val="24"/>
              </w:rPr>
            </w:pPr>
            <w:r w:rsidRPr="00A94A22">
              <w:rPr>
                <w:b/>
                <w:bCs/>
                <w:sz w:val="24"/>
              </w:rPr>
              <w:t>Standard</w:t>
            </w:r>
          </w:p>
        </w:tc>
        <w:tc>
          <w:tcPr>
            <w:tcW w:w="729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9A6D4B" w:rsidRPr="00A94A22" w:rsidRDefault="0071493C" w:rsidP="00462D3B">
            <w:pPr>
              <w:rPr>
                <w:sz w:val="24"/>
              </w:rPr>
            </w:pPr>
            <w:r w:rsidRPr="00A94A22">
              <w:rPr>
                <w:b/>
                <w:bCs/>
                <w:sz w:val="24"/>
              </w:rPr>
              <w:t>Application</w:t>
            </w:r>
            <w:r w:rsidR="009A6D4B" w:rsidRPr="00A94A22">
              <w:rPr>
                <w:b/>
                <w:bCs/>
                <w:sz w:val="24"/>
              </w:rPr>
              <w:t xml:space="preserve"> Grade 3 and 6 Standards Examples</w:t>
            </w:r>
          </w:p>
        </w:tc>
      </w:tr>
      <w:tr w:rsidR="009A6D4B" w:rsidRPr="00595ED2" w:rsidTr="00AF45E8">
        <w:trPr>
          <w:trHeight w:val="478"/>
        </w:trPr>
        <w:tc>
          <w:tcPr>
            <w:tcW w:w="8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A6D4B" w:rsidRPr="00A94A22" w:rsidRDefault="009A6D4B" w:rsidP="0072798F">
            <w:pPr>
              <w:jc w:val="center"/>
              <w:rPr>
                <w:sz w:val="24"/>
              </w:rPr>
            </w:pPr>
            <w:r w:rsidRPr="00A94A22">
              <w:rPr>
                <w:sz w:val="24"/>
              </w:rPr>
              <w:t>3</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A6D4B" w:rsidRPr="00A94A22" w:rsidRDefault="002D3B13" w:rsidP="0072798F">
            <w:pPr>
              <w:jc w:val="center"/>
              <w:rPr>
                <w:sz w:val="24"/>
              </w:rPr>
            </w:pPr>
            <w:r w:rsidRPr="00A94A22">
              <w:rPr>
                <w:color w:val="000000" w:themeColor="text1"/>
                <w:sz w:val="24"/>
              </w:rPr>
              <w:t>3.MD.1</w:t>
            </w:r>
          </w:p>
        </w:tc>
        <w:tc>
          <w:tcPr>
            <w:tcW w:w="72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A6D4B" w:rsidRPr="00A94A22" w:rsidRDefault="002D3B13" w:rsidP="002D3B13">
            <w:pPr>
              <w:autoSpaceDE w:val="0"/>
              <w:autoSpaceDN w:val="0"/>
              <w:adjustRightInd w:val="0"/>
              <w:rPr>
                <w:color w:val="000000" w:themeColor="text1"/>
                <w:sz w:val="24"/>
              </w:rPr>
            </w:pPr>
            <w:r w:rsidRPr="00A94A22">
              <w:rPr>
                <w:color w:val="000000" w:themeColor="text1"/>
                <w:sz w:val="24"/>
              </w:rPr>
              <w:t xml:space="preserve">Tell and write time to the nearest minute and measure time intervals in minutes. Solve word problems involving addition and subtraction of time intervals in </w:t>
            </w:r>
            <w:r w:rsidRPr="00A94A22">
              <w:rPr>
                <w:sz w:val="24"/>
              </w:rPr>
              <w:t>minutes or hours (e.g., by representing the problem on a number line diagram or clock).</w:t>
            </w:r>
          </w:p>
        </w:tc>
      </w:tr>
      <w:tr w:rsidR="002D3B13" w:rsidRPr="00595ED2" w:rsidTr="00AF45E8">
        <w:trPr>
          <w:trHeight w:val="478"/>
        </w:trPr>
        <w:tc>
          <w:tcPr>
            <w:tcW w:w="8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2D3B13" w:rsidRPr="00A94A22" w:rsidRDefault="002D3B13" w:rsidP="0072798F">
            <w:pPr>
              <w:jc w:val="center"/>
              <w:rPr>
                <w:sz w:val="24"/>
              </w:rPr>
            </w:pPr>
            <w:r w:rsidRPr="00A94A22">
              <w:rPr>
                <w:sz w:val="24"/>
              </w:rPr>
              <w:t>6</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2D3B13" w:rsidRPr="00A94A22" w:rsidRDefault="002D3B13" w:rsidP="0072798F">
            <w:pPr>
              <w:jc w:val="center"/>
              <w:rPr>
                <w:color w:val="000000" w:themeColor="text1"/>
                <w:sz w:val="24"/>
              </w:rPr>
            </w:pPr>
            <w:r w:rsidRPr="00A94A22">
              <w:rPr>
                <w:rFonts w:cstheme="minorHAnsi"/>
                <w:color w:val="000000" w:themeColor="text1"/>
                <w:sz w:val="24"/>
              </w:rPr>
              <w:t>6.SP.4</w:t>
            </w:r>
          </w:p>
        </w:tc>
        <w:tc>
          <w:tcPr>
            <w:tcW w:w="72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2D3B13" w:rsidRPr="00A94A22" w:rsidRDefault="002D3B13" w:rsidP="002D3B13">
            <w:pPr>
              <w:rPr>
                <w:rFonts w:cstheme="minorHAnsi"/>
                <w:color w:val="000000" w:themeColor="text1"/>
                <w:sz w:val="24"/>
              </w:rPr>
            </w:pPr>
            <w:r w:rsidRPr="00A94A22">
              <w:rPr>
                <w:rFonts w:cstheme="minorHAnsi"/>
                <w:color w:val="000000" w:themeColor="text1"/>
                <w:sz w:val="24"/>
              </w:rPr>
              <w:t>Display numerical data in plots on a number line, including dot or line plots, histograms</w:t>
            </w:r>
            <w:r w:rsidR="004E7709">
              <w:rPr>
                <w:rFonts w:cstheme="minorHAnsi"/>
                <w:color w:val="000000" w:themeColor="text1"/>
                <w:sz w:val="24"/>
              </w:rPr>
              <w:t>,</w:t>
            </w:r>
            <w:r w:rsidRPr="00A94A22">
              <w:rPr>
                <w:rFonts w:cstheme="minorHAnsi"/>
                <w:color w:val="000000" w:themeColor="text1"/>
                <w:sz w:val="24"/>
              </w:rPr>
              <w:t xml:space="preserve"> and box (box and whisker) plots.</w:t>
            </w:r>
          </w:p>
        </w:tc>
      </w:tr>
    </w:tbl>
    <w:p w:rsidR="000B76BF" w:rsidRDefault="000B76BF"/>
    <w:sectPr w:rsidR="000B76BF" w:rsidSect="00944D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1C" w:rsidRDefault="00D5121C" w:rsidP="00944D0A">
      <w:pPr>
        <w:spacing w:after="0" w:line="240" w:lineRule="auto"/>
      </w:pPr>
      <w:r>
        <w:separator/>
      </w:r>
    </w:p>
  </w:endnote>
  <w:endnote w:type="continuationSeparator" w:id="0">
    <w:p w:rsidR="00D5121C" w:rsidRDefault="00D5121C" w:rsidP="0094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CF" w:rsidRPr="006D66C5" w:rsidRDefault="006D66C5">
    <w:pPr>
      <w:pStyle w:val="Footer"/>
      <w:rPr>
        <w:sz w:val="24"/>
      </w:rPr>
    </w:pPr>
    <w:r w:rsidRPr="006D66C5">
      <w:rPr>
        <w:sz w:val="24"/>
      </w:rPr>
      <w:t>EED Curriculum &amp; Alignment Institute</w:t>
    </w:r>
    <w:r w:rsidR="004933CF" w:rsidRPr="006D66C5">
      <w:rPr>
        <w:sz w:val="24"/>
      </w:rPr>
      <w:tab/>
    </w:r>
    <w:r w:rsidR="004933CF" w:rsidRPr="006D66C5">
      <w:rPr>
        <w:sz w:val="24"/>
      </w:rPr>
      <w:tab/>
      <w:t xml:space="preserve">Page </w:t>
    </w:r>
    <w:r w:rsidR="004933CF" w:rsidRPr="006D66C5">
      <w:rPr>
        <w:sz w:val="24"/>
      </w:rPr>
      <w:fldChar w:fldCharType="begin"/>
    </w:r>
    <w:r w:rsidR="004933CF" w:rsidRPr="006D66C5">
      <w:rPr>
        <w:sz w:val="24"/>
      </w:rPr>
      <w:instrText xml:space="preserve"> PAGE   \* MERGEFORMAT </w:instrText>
    </w:r>
    <w:r w:rsidR="004933CF" w:rsidRPr="006D66C5">
      <w:rPr>
        <w:sz w:val="24"/>
      </w:rPr>
      <w:fldChar w:fldCharType="separate"/>
    </w:r>
    <w:r>
      <w:rPr>
        <w:noProof/>
        <w:sz w:val="24"/>
      </w:rPr>
      <w:t>1</w:t>
    </w:r>
    <w:r w:rsidR="004933CF" w:rsidRPr="006D66C5">
      <w:rPr>
        <w:sz w:val="24"/>
      </w:rPr>
      <w:fldChar w:fldCharType="end"/>
    </w:r>
    <w:r w:rsidR="004933CF" w:rsidRPr="006D66C5">
      <w:rPr>
        <w:sz w:val="24"/>
      </w:rPr>
      <w:t xml:space="preserve"> of </w:t>
    </w:r>
    <w:r w:rsidR="00586E25" w:rsidRPr="006D66C5">
      <w:rPr>
        <w:sz w:val="24"/>
      </w:rPr>
      <w:fldChar w:fldCharType="begin"/>
    </w:r>
    <w:r w:rsidR="00586E25" w:rsidRPr="006D66C5">
      <w:rPr>
        <w:sz w:val="24"/>
      </w:rPr>
      <w:instrText xml:space="preserve"> NUMPAGES   \* MERGEFORMAT </w:instrText>
    </w:r>
    <w:r w:rsidR="00586E25" w:rsidRPr="006D66C5">
      <w:rPr>
        <w:sz w:val="24"/>
      </w:rPr>
      <w:fldChar w:fldCharType="separate"/>
    </w:r>
    <w:r>
      <w:rPr>
        <w:noProof/>
        <w:sz w:val="24"/>
      </w:rPr>
      <w:t>2</w:t>
    </w:r>
    <w:r w:rsidR="00586E25" w:rsidRPr="006D66C5">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1C" w:rsidRDefault="00D5121C" w:rsidP="00944D0A">
      <w:pPr>
        <w:spacing w:after="0" w:line="240" w:lineRule="auto"/>
      </w:pPr>
      <w:r>
        <w:separator/>
      </w:r>
    </w:p>
  </w:footnote>
  <w:footnote w:type="continuationSeparator" w:id="0">
    <w:p w:rsidR="00D5121C" w:rsidRDefault="00D5121C" w:rsidP="00944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0A" w:rsidRPr="006A35E6" w:rsidRDefault="00944D0A">
    <w:pPr>
      <w:pStyle w:val="Header"/>
      <w:rPr>
        <w:color w:val="1F497D" w:themeColor="text2"/>
        <w:sz w:val="28"/>
        <w:u w:val="single"/>
      </w:rPr>
    </w:pPr>
    <w:r w:rsidRPr="006A35E6">
      <w:rPr>
        <w:color w:val="1F497D" w:themeColor="text2"/>
        <w:sz w:val="28"/>
        <w:u w:val="single"/>
      </w:rPr>
      <w:t>Alaska Mathematics Standards</w:t>
    </w:r>
    <w:r w:rsidRPr="006A35E6">
      <w:rPr>
        <w:color w:val="1F497D" w:themeColor="text2"/>
        <w:sz w:val="28"/>
        <w:u w:val="single"/>
      </w:rPr>
      <w:tab/>
    </w:r>
    <w:r w:rsidRPr="006A35E6">
      <w:rPr>
        <w:color w:val="1F497D" w:themeColor="text2"/>
        <w:sz w:val="28"/>
        <w:u w:val="single"/>
      </w:rPr>
      <w:tab/>
    </w:r>
    <w:r w:rsidR="006A35E6" w:rsidRPr="006A35E6">
      <w:rPr>
        <w:color w:val="1F497D" w:themeColor="text2"/>
        <w:sz w:val="28"/>
        <w:u w:val="single"/>
      </w:rPr>
      <w:t xml:space="preserve">Shift #3: </w:t>
    </w:r>
    <w:r w:rsidR="009673FC" w:rsidRPr="006A35E6">
      <w:rPr>
        <w:color w:val="1F497D" w:themeColor="text2"/>
        <w:sz w:val="28"/>
        <w:u w:val="single"/>
      </w:rPr>
      <w:t>Rigor</w:t>
    </w:r>
    <w:r w:rsidR="006A35E6" w:rsidRPr="006A35E6">
      <w:rPr>
        <w:color w:val="1F497D" w:themeColor="text2"/>
        <w:sz w:val="28"/>
        <w:u w:val="single"/>
      </w:rPr>
      <w:t xml:space="preserve"> </w:t>
    </w:r>
    <w:r w:rsidR="00685450">
      <w:rPr>
        <w:color w:val="1F497D" w:themeColor="text2"/>
        <w:sz w:val="28"/>
        <w:u w:val="single"/>
      </w:rPr>
      <w:t xml:space="preserve">– An </w:t>
    </w:r>
    <w:r w:rsidR="006A35E6" w:rsidRPr="006A35E6">
      <w:rPr>
        <w:color w:val="1F497D" w:themeColor="text2"/>
        <w:sz w:val="28"/>
        <w:u w:val="single"/>
      </w:rPr>
      <w:t>Equation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0FA4"/>
    <w:multiLevelType w:val="hybridMultilevel"/>
    <w:tmpl w:val="5116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6B46"/>
    <w:multiLevelType w:val="hybridMultilevel"/>
    <w:tmpl w:val="3ED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638FD"/>
    <w:multiLevelType w:val="hybridMultilevel"/>
    <w:tmpl w:val="4B9891F4"/>
    <w:lvl w:ilvl="0" w:tplc="9B707D88">
      <w:numFmt w:val="bullet"/>
      <w:lvlText w:val="-"/>
      <w:lvlJc w:val="left"/>
      <w:pPr>
        <w:ind w:left="720" w:hanging="360"/>
      </w:pPr>
      <w:rPr>
        <w:rFonts w:ascii="Cambria" w:eastAsiaTheme="minorHAnsi" w:hAnsi="Cambria" w:cs="Cambria-Bol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B010B"/>
    <w:multiLevelType w:val="hybridMultilevel"/>
    <w:tmpl w:val="25161B36"/>
    <w:lvl w:ilvl="0" w:tplc="40D80972">
      <w:start w:val="1"/>
      <w:numFmt w:val="decimal"/>
      <w:lvlText w:val="%1."/>
      <w:lvlJc w:val="left"/>
      <w:pPr>
        <w:ind w:left="360" w:hanging="360"/>
      </w:pPr>
      <w:rPr>
        <w:rFonts w:ascii="Cambria" w:hAnsi="Cambria" w:cs="Cambria-Bold"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F0D35"/>
    <w:multiLevelType w:val="hybridMultilevel"/>
    <w:tmpl w:val="99EA3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D2"/>
    <w:rsid w:val="0003739F"/>
    <w:rsid w:val="000A17ED"/>
    <w:rsid w:val="000B76BF"/>
    <w:rsid w:val="002857A6"/>
    <w:rsid w:val="002B689C"/>
    <w:rsid w:val="002D3B13"/>
    <w:rsid w:val="002E2B0F"/>
    <w:rsid w:val="00380375"/>
    <w:rsid w:val="004933CF"/>
    <w:rsid w:val="004E3F7E"/>
    <w:rsid w:val="004E7709"/>
    <w:rsid w:val="00556112"/>
    <w:rsid w:val="00586E25"/>
    <w:rsid w:val="00595ED2"/>
    <w:rsid w:val="005E6546"/>
    <w:rsid w:val="00685450"/>
    <w:rsid w:val="006974A2"/>
    <w:rsid w:val="006A35E6"/>
    <w:rsid w:val="006A3C10"/>
    <w:rsid w:val="006C0564"/>
    <w:rsid w:val="006D66C5"/>
    <w:rsid w:val="006E05AD"/>
    <w:rsid w:val="0071493C"/>
    <w:rsid w:val="0072798F"/>
    <w:rsid w:val="00742356"/>
    <w:rsid w:val="0075710C"/>
    <w:rsid w:val="007956AC"/>
    <w:rsid w:val="007C2FA5"/>
    <w:rsid w:val="0090496E"/>
    <w:rsid w:val="00944D0A"/>
    <w:rsid w:val="009673FC"/>
    <w:rsid w:val="009A4154"/>
    <w:rsid w:val="009A6D4B"/>
    <w:rsid w:val="009C1709"/>
    <w:rsid w:val="00A22FA5"/>
    <w:rsid w:val="00A94A22"/>
    <w:rsid w:val="00AE7586"/>
    <w:rsid w:val="00AF45E8"/>
    <w:rsid w:val="00AF653C"/>
    <w:rsid w:val="00B33F4E"/>
    <w:rsid w:val="00B57F99"/>
    <w:rsid w:val="00B60B80"/>
    <w:rsid w:val="00BA4E51"/>
    <w:rsid w:val="00BB25A3"/>
    <w:rsid w:val="00C34674"/>
    <w:rsid w:val="00C81EB7"/>
    <w:rsid w:val="00CD2437"/>
    <w:rsid w:val="00D27732"/>
    <w:rsid w:val="00D5121C"/>
    <w:rsid w:val="00D539B7"/>
    <w:rsid w:val="00E5744B"/>
    <w:rsid w:val="00E76903"/>
    <w:rsid w:val="00E95801"/>
    <w:rsid w:val="00EC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FA798"/>
  <w15:docId w15:val="{E88144A7-613E-47A6-B5C8-5E3058A6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0A"/>
  </w:style>
  <w:style w:type="paragraph" w:styleId="Footer">
    <w:name w:val="footer"/>
    <w:basedOn w:val="Normal"/>
    <w:link w:val="FooterChar"/>
    <w:uiPriority w:val="99"/>
    <w:unhideWhenUsed/>
    <w:rsid w:val="0094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0A"/>
  </w:style>
  <w:style w:type="paragraph" w:styleId="ListParagraph">
    <w:name w:val="List Paragraph"/>
    <w:basedOn w:val="Normal"/>
    <w:uiPriority w:val="34"/>
    <w:qFormat/>
    <w:rsid w:val="00944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Cecilia A (EED)</dc:creator>
  <cp:lastModifiedBy>Lumba, Gloria S (EED)</cp:lastModifiedBy>
  <cp:revision>17</cp:revision>
  <cp:lastPrinted>2013-03-06T04:46:00Z</cp:lastPrinted>
  <dcterms:created xsi:type="dcterms:W3CDTF">2019-10-07T17:48:00Z</dcterms:created>
  <dcterms:modified xsi:type="dcterms:W3CDTF">2019-10-07T19:08:00Z</dcterms:modified>
</cp:coreProperties>
</file>